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B3" w:rsidRPr="00900EB3" w:rsidRDefault="00900EB3" w:rsidP="00900EB3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900EB3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保定市金泰宏孚房地产开发有限公司</w:t>
      </w:r>
    </w:p>
    <w:p w:rsidR="00900EB3" w:rsidRDefault="00900EB3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331535" w:rsidRDefault="00154DE5" w:rsidP="00D5738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保定市金泰宏孚房地产开发有限</w:t>
      </w:r>
      <w:r>
        <w:rPr>
          <w:rFonts w:ascii="宋体" w:eastAsia="宋体" w:hAnsi="宋体" w:cs="宋体"/>
          <w:color w:val="333333"/>
          <w:kern w:val="0"/>
          <w:sz w:val="32"/>
          <w:szCs w:val="32"/>
        </w:rPr>
        <w:t>公司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成立于2017年4月，现为北京金泰房地产开发有限责任公司控股公司，北京金泰房地产开发有限责任公司控股55%，保定市宏孚房地产开发有限责任公司控股45%，</w:t>
      </w:r>
      <w:hyperlink r:id="rId7" w:tgtFrame="https://www.qcc.com/firm/_blank" w:history="1">
        <w:r>
          <w:rPr>
            <w:rFonts w:ascii="宋体" w:eastAsia="宋体" w:hAnsi="宋体" w:cs="宋体" w:hint="eastAsia"/>
            <w:color w:val="333333"/>
            <w:kern w:val="0"/>
            <w:sz w:val="32"/>
            <w:szCs w:val="32"/>
          </w:rPr>
          <w:t>北京宏宝源投资有限公司</w:t>
        </w:r>
      </w:hyperlink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控股5%。主要开发建设了一期璞园项目，项目位于保定市北部，恒源路以北，瑞祥大街以东约350米,项目定位为限价商品房，2019年4月开工，总建筑面积147481.55，目前处于施工、销售阶段。二期泰园项目，项目位于保定市高新区，毗邻北三环,项目定位为商品房，暂未开工，总建筑面积45961.93平方米。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保定市金泰宏孚房地产开发有限公司主营业务为房地产开发经营；建筑材料销售；室内装饰设计；工程项目咨询；自有房屋租赁；停车场服务；房屋买卖代理服务，房屋租赁代理服务等。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河北省保定市</w:t>
      </w: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北三环路宏孚茗园综合大楼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lastRenderedPageBreak/>
        <w:t>保定市北三环路1188号宏孚庄园综合大楼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2017年04月25日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一亿元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071000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0" w:type="auto"/>
        <w:tblInd w:w="988" w:type="dxa"/>
        <w:tblLook w:val="04A0"/>
      </w:tblPr>
      <w:tblGrid>
        <w:gridCol w:w="3160"/>
        <w:gridCol w:w="3502"/>
      </w:tblGrid>
      <w:tr w:rsidR="00331535">
        <w:tc>
          <w:tcPr>
            <w:tcW w:w="6662" w:type="dxa"/>
            <w:gridSpan w:val="2"/>
          </w:tcPr>
          <w:p w:rsidR="00331535" w:rsidRDefault="00154DE5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331535">
        <w:tc>
          <w:tcPr>
            <w:tcW w:w="3160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金凤诚</w:t>
            </w:r>
          </w:p>
        </w:tc>
        <w:tc>
          <w:tcPr>
            <w:tcW w:w="3502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党支部书记、董事长</w:t>
            </w:r>
          </w:p>
        </w:tc>
      </w:tr>
      <w:tr w:rsidR="00331535">
        <w:tc>
          <w:tcPr>
            <w:tcW w:w="3160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赵勇</w:t>
            </w:r>
          </w:p>
        </w:tc>
        <w:tc>
          <w:tcPr>
            <w:tcW w:w="3502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总经理</w:t>
            </w:r>
          </w:p>
        </w:tc>
      </w:tr>
      <w:tr w:rsidR="00331535">
        <w:tc>
          <w:tcPr>
            <w:tcW w:w="3160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李尧</w:t>
            </w:r>
          </w:p>
        </w:tc>
        <w:tc>
          <w:tcPr>
            <w:tcW w:w="3502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常务副总</w:t>
            </w:r>
          </w:p>
        </w:tc>
      </w:tr>
      <w:tr w:rsidR="00331535">
        <w:tc>
          <w:tcPr>
            <w:tcW w:w="3160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董建桥</w:t>
            </w:r>
          </w:p>
        </w:tc>
        <w:tc>
          <w:tcPr>
            <w:tcW w:w="3502" w:type="dxa"/>
          </w:tcPr>
          <w:p w:rsidR="00331535" w:rsidRDefault="00154DE5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工程副总</w:t>
            </w:r>
          </w:p>
        </w:tc>
      </w:tr>
    </w:tbl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0" w:type="auto"/>
        <w:tblInd w:w="988" w:type="dxa"/>
        <w:tblLook w:val="04A0"/>
      </w:tblPr>
      <w:tblGrid>
        <w:gridCol w:w="6520"/>
      </w:tblGrid>
      <w:tr w:rsidR="00331535">
        <w:tc>
          <w:tcPr>
            <w:tcW w:w="6520" w:type="dxa"/>
          </w:tcPr>
          <w:p w:rsidR="00331535" w:rsidRDefault="00154DE5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331535">
        <w:tc>
          <w:tcPr>
            <w:tcW w:w="6520" w:type="dxa"/>
          </w:tcPr>
          <w:p w:rsidR="00331535" w:rsidRDefault="00154DE5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市场营销部</w:t>
            </w:r>
          </w:p>
        </w:tc>
      </w:tr>
      <w:tr w:rsidR="00331535">
        <w:tc>
          <w:tcPr>
            <w:tcW w:w="6520" w:type="dxa"/>
          </w:tcPr>
          <w:p w:rsidR="00331535" w:rsidRDefault="00154DE5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开发部</w:t>
            </w:r>
          </w:p>
        </w:tc>
      </w:tr>
      <w:tr w:rsidR="00331535">
        <w:tc>
          <w:tcPr>
            <w:tcW w:w="6520" w:type="dxa"/>
          </w:tcPr>
          <w:p w:rsidR="00331535" w:rsidRDefault="00154DE5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财务部</w:t>
            </w:r>
          </w:p>
        </w:tc>
      </w:tr>
      <w:tr w:rsidR="00331535">
        <w:tc>
          <w:tcPr>
            <w:tcW w:w="6520" w:type="dxa"/>
          </w:tcPr>
          <w:p w:rsidR="00331535" w:rsidRDefault="00154DE5">
            <w:pPr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</w:t>
            </w:r>
            <w: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  <w:t>办公室</w:t>
            </w:r>
          </w:p>
        </w:tc>
      </w:tr>
      <w:tr w:rsidR="00331535">
        <w:tc>
          <w:tcPr>
            <w:tcW w:w="6520" w:type="dxa"/>
          </w:tcPr>
          <w:p w:rsidR="00331535" w:rsidRDefault="00154DE5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成本采购部</w:t>
            </w:r>
          </w:p>
        </w:tc>
      </w:tr>
      <w:tr w:rsidR="00331535">
        <w:trPr>
          <w:trHeight w:val="699"/>
        </w:trPr>
        <w:tc>
          <w:tcPr>
            <w:tcW w:w="6520" w:type="dxa"/>
          </w:tcPr>
          <w:p w:rsidR="00331535" w:rsidRDefault="00154DE5">
            <w:pPr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工程安全环保部</w:t>
            </w:r>
          </w:p>
        </w:tc>
      </w:tr>
    </w:tbl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2020年，实现开复工面积14.75万平方米，销售签约面积0.74万平方米，销售签约金额6995.56万元。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2020年末，公司资产总额10.28亿元，资产负债率99.95%，营业收入0.35万元，完成利润总额-1946.74万元。  </w:t>
      </w:r>
      <w:r>
        <w:rPr>
          <w:rFonts w:ascii="宋体" w:eastAsia="宋体" w:hAnsi="宋体" w:cs="宋体"/>
          <w:sz w:val="24"/>
          <w:szCs w:val="24"/>
        </w:rPr>
        <w:t>    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2020年保定市金泰宏孚房地产开发有限公司消费扶贫金额总计17575元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331535" w:rsidRDefault="00154DE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sectPr w:rsidR="00331535" w:rsidSect="0008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B17" w:rsidRDefault="00144B17" w:rsidP="00900EB3">
      <w:r>
        <w:separator/>
      </w:r>
    </w:p>
  </w:endnote>
  <w:endnote w:type="continuationSeparator" w:id="1">
    <w:p w:rsidR="00144B17" w:rsidRDefault="00144B17" w:rsidP="00900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B17" w:rsidRDefault="00144B17" w:rsidP="00900EB3">
      <w:r>
        <w:separator/>
      </w:r>
    </w:p>
  </w:footnote>
  <w:footnote w:type="continuationSeparator" w:id="1">
    <w:p w:rsidR="00144B17" w:rsidRDefault="00144B17" w:rsidP="00900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56260"/>
    <w:rsid w:val="000808CF"/>
    <w:rsid w:val="00144B17"/>
    <w:rsid w:val="00154DE5"/>
    <w:rsid w:val="002963ED"/>
    <w:rsid w:val="002E3BFD"/>
    <w:rsid w:val="00331535"/>
    <w:rsid w:val="004E0326"/>
    <w:rsid w:val="00551DA3"/>
    <w:rsid w:val="005B16D7"/>
    <w:rsid w:val="00900EB3"/>
    <w:rsid w:val="00990F5D"/>
    <w:rsid w:val="00C0398A"/>
    <w:rsid w:val="00C50CC8"/>
    <w:rsid w:val="00CF49B8"/>
    <w:rsid w:val="00D57385"/>
    <w:rsid w:val="00E14677"/>
    <w:rsid w:val="00F53FAC"/>
    <w:rsid w:val="00FF6942"/>
    <w:rsid w:val="05BE6A34"/>
    <w:rsid w:val="25333C6A"/>
    <w:rsid w:val="3C46623B"/>
    <w:rsid w:val="4C3F56A6"/>
    <w:rsid w:val="6366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80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80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080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080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0808CF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0808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0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cc.com/firm/f5aed948aa73a2c4708ce2d8a3222f5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3</cp:revision>
  <dcterms:created xsi:type="dcterms:W3CDTF">2021-11-18T06:50:00Z</dcterms:created>
  <dcterms:modified xsi:type="dcterms:W3CDTF">2021-11-22T10:05:00Z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69EA78727B874DC9AA0010EEAAC73B2F</vt:lpwstr>
  </property>
</Properties>
</file>