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C3" w:rsidRPr="00E969C3" w:rsidRDefault="00E969C3" w:rsidP="00E969C3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</w:pPr>
      <w:r w:rsidRPr="00E969C3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  <w:t>北京金泰中阳房地产开发有限公司</w:t>
      </w:r>
    </w:p>
    <w:p w:rsidR="00E969C3" w:rsidRDefault="00E969C3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2963ED" w:rsidRPr="002963ED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C50CC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2963ED" w:rsidRPr="005F3A56" w:rsidRDefault="00A95A0D" w:rsidP="002E3BF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北京金泰中阳房地产开发有限</w:t>
      </w:r>
      <w:r w:rsidR="005B16D7" w:rsidRPr="00212C4C">
        <w:rPr>
          <w:rFonts w:ascii="宋体" w:eastAsia="宋体" w:hAnsi="宋体" w:cs="宋体"/>
          <w:color w:val="333333"/>
          <w:kern w:val="0"/>
          <w:sz w:val="32"/>
          <w:szCs w:val="32"/>
        </w:rPr>
        <w:t>公司</w:t>
      </w:r>
      <w:r w:rsidR="002963ED"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成立于</w:t>
      </w:r>
      <w:r w:rsidRPr="00212C4C">
        <w:rPr>
          <w:rFonts w:ascii="宋体" w:eastAsia="宋体" w:hAnsi="宋体" w:cs="宋体"/>
          <w:color w:val="333333"/>
          <w:kern w:val="0"/>
          <w:sz w:val="32"/>
          <w:szCs w:val="32"/>
        </w:rPr>
        <w:t>2013</w:t>
      </w:r>
      <w:r w:rsidR="002963ED"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Pr="00212C4C">
        <w:rPr>
          <w:rFonts w:ascii="宋体" w:eastAsia="宋体" w:hAnsi="宋体" w:cs="宋体"/>
          <w:color w:val="333333"/>
          <w:kern w:val="0"/>
          <w:sz w:val="32"/>
          <w:szCs w:val="32"/>
        </w:rPr>
        <w:t>5</w:t>
      </w:r>
      <w:r w:rsidR="002963ED"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月，现</w:t>
      </w:r>
      <w:r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由北京金泰房地产开发有限责任公司、北京中阳奥华国际房地产有限公司按</w:t>
      </w:r>
      <w:r w:rsidRPr="00212C4C">
        <w:rPr>
          <w:rFonts w:ascii="宋体" w:eastAsia="宋体" w:hAnsi="宋体" w:cs="宋体"/>
          <w:color w:val="333333"/>
          <w:kern w:val="0"/>
          <w:sz w:val="32"/>
          <w:szCs w:val="32"/>
        </w:rPr>
        <w:t>6</w:t>
      </w:r>
      <w:r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0%、</w:t>
      </w:r>
      <w:r w:rsidRPr="00212C4C">
        <w:rPr>
          <w:rFonts w:ascii="宋体" w:eastAsia="宋体" w:hAnsi="宋体" w:cs="宋体"/>
          <w:color w:val="333333"/>
          <w:kern w:val="0"/>
          <w:sz w:val="32"/>
          <w:szCs w:val="32"/>
        </w:rPr>
        <w:t>4</w:t>
      </w:r>
      <w:r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0%股权比例共同出资成立</w:t>
      </w:r>
      <w:r w:rsidR="002963ED"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r w:rsidR="002E3BFD" w:rsidRPr="00212C4C">
        <w:rPr>
          <w:rFonts w:ascii="宋体" w:eastAsia="宋体" w:hAnsi="宋体" w:cs="宋体"/>
          <w:color w:val="333333"/>
          <w:kern w:val="0"/>
          <w:sz w:val="32"/>
          <w:szCs w:val="32"/>
        </w:rPr>
        <w:t>主要开发建设了</w:t>
      </w:r>
      <w:r w:rsidRPr="00212C4C">
        <w:rPr>
          <w:rFonts w:ascii="宋体" w:eastAsia="宋体" w:hAnsi="宋体" w:hint="eastAsia"/>
          <w:sz w:val="32"/>
          <w:szCs w:val="32"/>
        </w:rPr>
        <w:t>万泉寺住宅小区A地块土地一级开发</w:t>
      </w:r>
      <w:r w:rsidR="002E3BFD"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项目，项目位于</w:t>
      </w:r>
      <w:r w:rsidRPr="00212C4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北京市</w:t>
      </w:r>
      <w:r w:rsidRPr="00212C4C">
        <w:rPr>
          <w:rFonts w:ascii="宋体" w:eastAsia="宋体" w:hAnsi="宋体" w:hint="eastAsia"/>
          <w:color w:val="000000"/>
          <w:sz w:val="32"/>
          <w:szCs w:val="32"/>
        </w:rPr>
        <w:t>丰</w:t>
      </w:r>
      <w:r w:rsidRPr="005F3A56">
        <w:rPr>
          <w:rFonts w:ascii="宋体" w:eastAsia="宋体" w:hAnsi="宋体" w:hint="eastAsia"/>
          <w:color w:val="000000"/>
          <w:sz w:val="32"/>
          <w:szCs w:val="32"/>
        </w:rPr>
        <w:t>台区卢沟桥乡万泉寺</w:t>
      </w:r>
      <w:bookmarkStart w:id="0" w:name="_GoBack"/>
      <w:bookmarkEnd w:id="0"/>
      <w:r w:rsidRPr="005F3A56">
        <w:rPr>
          <w:rFonts w:ascii="宋体" w:eastAsia="宋体" w:hAnsi="宋体" w:hint="eastAsia"/>
          <w:color w:val="000000"/>
          <w:sz w:val="32"/>
          <w:szCs w:val="32"/>
        </w:rPr>
        <w:t>村</w:t>
      </w:r>
      <w:r w:rsidR="002E3BFD"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,</w:t>
      </w:r>
      <w:r w:rsidR="00551DA3"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项目定位</w:t>
      </w:r>
      <w:r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为一级开发</w:t>
      </w:r>
      <w:r w:rsidR="00551DA3"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，</w:t>
      </w:r>
      <w:r w:rsidR="004B421C" w:rsidRPr="005F3A56">
        <w:rPr>
          <w:rFonts w:ascii="宋体" w:eastAsia="宋体" w:hAnsi="宋体" w:cs="宋体"/>
          <w:color w:val="333333"/>
          <w:kern w:val="0"/>
          <w:sz w:val="32"/>
          <w:szCs w:val="32"/>
        </w:rPr>
        <w:t>20</w:t>
      </w:r>
      <w:r w:rsidR="00711130" w:rsidRPr="005F3A56">
        <w:rPr>
          <w:rFonts w:ascii="宋体" w:eastAsia="宋体" w:hAnsi="宋体" w:cs="宋体"/>
          <w:color w:val="333333"/>
          <w:kern w:val="0"/>
          <w:sz w:val="32"/>
          <w:szCs w:val="32"/>
        </w:rPr>
        <w:t>14</w:t>
      </w:r>
      <w:r w:rsidR="00551DA3" w:rsidRPr="005F3A56">
        <w:rPr>
          <w:rFonts w:ascii="宋体" w:eastAsia="宋体" w:hAnsi="宋体" w:cs="宋体"/>
          <w:color w:val="333333"/>
          <w:kern w:val="0"/>
          <w:sz w:val="32"/>
          <w:szCs w:val="32"/>
        </w:rPr>
        <w:t>年</w:t>
      </w:r>
      <w:r w:rsidR="004B421C" w:rsidRPr="005F3A56">
        <w:rPr>
          <w:rFonts w:ascii="宋体" w:eastAsia="宋体" w:hAnsi="宋体" w:cs="宋体"/>
          <w:color w:val="333333"/>
          <w:kern w:val="0"/>
          <w:sz w:val="32"/>
          <w:szCs w:val="32"/>
        </w:rPr>
        <w:t>6</w:t>
      </w:r>
      <w:r w:rsidR="00551DA3"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551DA3" w:rsidRPr="005F3A56">
        <w:rPr>
          <w:rFonts w:ascii="宋体" w:eastAsia="宋体" w:hAnsi="宋体" w:cs="宋体"/>
          <w:color w:val="333333"/>
          <w:kern w:val="0"/>
          <w:sz w:val="32"/>
          <w:szCs w:val="32"/>
        </w:rPr>
        <w:t>开工，</w:t>
      </w:r>
      <w:r w:rsidR="00551DA3"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建筑</w:t>
      </w:r>
      <w:r w:rsidR="002E3BFD"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规模</w:t>
      </w:r>
      <w:r w:rsidR="00772273" w:rsidRPr="005F3A56">
        <w:rPr>
          <w:rFonts w:ascii="宋体" w:eastAsia="宋体" w:hAnsi="宋体" w:cs="宋体"/>
          <w:color w:val="333333"/>
          <w:kern w:val="0"/>
          <w:sz w:val="32"/>
          <w:szCs w:val="32"/>
        </w:rPr>
        <w:t>10.16</w:t>
      </w:r>
      <w:r w:rsidR="002E3BFD"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万平方米，目前</w:t>
      </w:r>
      <w:r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项目已于2</w:t>
      </w:r>
      <w:r w:rsidRPr="005F3A56">
        <w:rPr>
          <w:rFonts w:ascii="宋体" w:eastAsia="宋体" w:hAnsi="宋体" w:cs="宋体"/>
          <w:color w:val="333333"/>
          <w:kern w:val="0"/>
          <w:sz w:val="32"/>
          <w:szCs w:val="32"/>
        </w:rPr>
        <w:t>021</w:t>
      </w:r>
      <w:r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年8月末入市</w:t>
      </w:r>
      <w:r w:rsidR="002963ED" w:rsidRPr="005F3A5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F3A56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2963ED" w:rsidRPr="001E32B9" w:rsidRDefault="001E32B9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1E32B9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房地产开发；工程咨询；销售自行开发的商品房、建筑材料；装饰设计；劳务服务；经济信息咨询；从事房地产经纪业务；资产管理。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374432" w:rsidRPr="00374432" w:rsidRDefault="00374432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374432">
        <w:rPr>
          <w:rFonts w:ascii="宋体" w:eastAsia="宋体" w:hAnsi="宋体" w:cs="宋体"/>
          <w:color w:val="333333"/>
          <w:kern w:val="0"/>
          <w:sz w:val="32"/>
          <w:szCs w:val="32"/>
        </w:rPr>
        <w:t>北京市丰台区卢沟桥乡柳村路9号院10号楼底商208室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C102FE" w:rsidRDefault="00C102FE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374432">
        <w:rPr>
          <w:rFonts w:ascii="宋体" w:eastAsia="宋体" w:hAnsi="宋体" w:cs="宋体"/>
          <w:color w:val="333333"/>
          <w:kern w:val="0"/>
          <w:sz w:val="32"/>
          <w:szCs w:val="32"/>
        </w:rPr>
        <w:t>北京市丰台区卢沟桥乡柳村路9号院10号楼底商208室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2963ED" w:rsidRPr="002963ED" w:rsidRDefault="00A95A0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lastRenderedPageBreak/>
        <w:t>2013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5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C102FE">
        <w:rPr>
          <w:rFonts w:ascii="宋体" w:eastAsia="宋体" w:hAnsi="宋体" w:cs="宋体"/>
          <w:color w:val="333333"/>
          <w:kern w:val="0"/>
          <w:sz w:val="32"/>
          <w:szCs w:val="32"/>
        </w:rPr>
        <w:t>7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2963ED" w:rsidRPr="002963ED" w:rsidRDefault="00A95A0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32"/>
          <w:szCs w:val="32"/>
        </w:rPr>
        <w:t>70000</w:t>
      </w:r>
      <w:r w:rsidR="002963ED"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</w:t>
      </w:r>
    </w:p>
    <w:p w:rsidR="002963ED" w:rsidRP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2963ED" w:rsidRDefault="002963ED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1000</w:t>
      </w:r>
      <w:r w:rsidR="00875B59">
        <w:rPr>
          <w:rFonts w:ascii="宋体" w:eastAsia="宋体" w:hAnsi="宋体" w:cs="宋体"/>
          <w:color w:val="333333"/>
          <w:kern w:val="0"/>
          <w:sz w:val="32"/>
          <w:szCs w:val="32"/>
        </w:rPr>
        <w:t>73</w:t>
      </w:r>
    </w:p>
    <w:p w:rsidR="002963ED" w:rsidRPr="002963ED" w:rsidRDefault="00C50CC8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0" w:type="auto"/>
        <w:tblInd w:w="988" w:type="dxa"/>
        <w:tblLook w:val="04A0"/>
      </w:tblPr>
      <w:tblGrid>
        <w:gridCol w:w="3160"/>
        <w:gridCol w:w="3502"/>
      </w:tblGrid>
      <w:tr w:rsidR="005B16D7" w:rsidTr="00056260">
        <w:tc>
          <w:tcPr>
            <w:tcW w:w="6662" w:type="dxa"/>
            <w:gridSpan w:val="2"/>
          </w:tcPr>
          <w:p w:rsidR="005B16D7" w:rsidRPr="00056260" w:rsidRDefault="00056260" w:rsidP="00056260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 w:rsidRPr="00056260"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5B16D7" w:rsidTr="00056260">
        <w:tc>
          <w:tcPr>
            <w:tcW w:w="3160" w:type="dxa"/>
          </w:tcPr>
          <w:p w:rsidR="005B16D7" w:rsidRDefault="00C102FE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吕万宁</w:t>
            </w:r>
          </w:p>
        </w:tc>
        <w:tc>
          <w:tcPr>
            <w:tcW w:w="3502" w:type="dxa"/>
          </w:tcPr>
          <w:p w:rsidR="005B16D7" w:rsidRDefault="00C102FE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董事长</w:t>
            </w:r>
          </w:p>
        </w:tc>
      </w:tr>
      <w:tr w:rsidR="005B16D7" w:rsidTr="00056260">
        <w:tc>
          <w:tcPr>
            <w:tcW w:w="3160" w:type="dxa"/>
          </w:tcPr>
          <w:p w:rsidR="005B16D7" w:rsidRDefault="00C102FE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张俊兴</w:t>
            </w:r>
          </w:p>
        </w:tc>
        <w:tc>
          <w:tcPr>
            <w:tcW w:w="3502" w:type="dxa"/>
          </w:tcPr>
          <w:p w:rsidR="005B16D7" w:rsidRDefault="00C102FE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党支部书记、总经理</w:t>
            </w:r>
          </w:p>
        </w:tc>
      </w:tr>
      <w:tr w:rsidR="005B16D7" w:rsidTr="00056260">
        <w:tc>
          <w:tcPr>
            <w:tcW w:w="3160" w:type="dxa"/>
          </w:tcPr>
          <w:p w:rsidR="005B16D7" w:rsidRDefault="00C102FE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张帛宁</w:t>
            </w:r>
          </w:p>
        </w:tc>
        <w:tc>
          <w:tcPr>
            <w:tcW w:w="3502" w:type="dxa"/>
          </w:tcPr>
          <w:p w:rsidR="005B16D7" w:rsidRDefault="00C102FE" w:rsidP="00056260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</w:tbl>
    <w:p w:rsidR="002963ED" w:rsidRPr="002963ED" w:rsidRDefault="00C50CC8" w:rsidP="002963ED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</w:t>
      </w:r>
      <w:r w:rsidR="002963ED"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2E3BFD" w:rsidRPr="002E3BFD" w:rsidTr="002E3BFD">
        <w:tc>
          <w:tcPr>
            <w:tcW w:w="6520" w:type="dxa"/>
          </w:tcPr>
          <w:p w:rsidR="002E3BFD" w:rsidRPr="002E3BFD" w:rsidRDefault="002E3BFD" w:rsidP="002E3BFD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 w:rsidRPr="002E3BFD"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2E3BFD" w:rsidP="002E3BFD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 w:rsidRPr="002E3BFD"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>公司办公室</w:t>
            </w:r>
          </w:p>
        </w:tc>
      </w:tr>
      <w:tr w:rsidR="002E3BFD" w:rsidRPr="002E3BFD" w:rsidTr="002E3BFD">
        <w:tc>
          <w:tcPr>
            <w:tcW w:w="6520" w:type="dxa"/>
          </w:tcPr>
          <w:p w:rsidR="00391727" w:rsidRPr="002E3BFD" w:rsidRDefault="00391727" w:rsidP="00C50CC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391727" w:rsidP="00C50CC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合约部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391727" w:rsidP="00C50CC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前期部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2E3BFD" w:rsidP="00C50CC8">
            <w:pPr>
              <w:rPr>
                <w:sz w:val="32"/>
                <w:szCs w:val="32"/>
              </w:rPr>
            </w:pP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2E3BFD" w:rsidP="00C50CC8">
            <w:pPr>
              <w:rPr>
                <w:sz w:val="32"/>
                <w:szCs w:val="32"/>
              </w:rPr>
            </w:pPr>
          </w:p>
        </w:tc>
      </w:tr>
    </w:tbl>
    <w:p w:rsidR="00C50CC8" w:rsidRPr="00C50CC8" w:rsidRDefault="00FF02B4" w:rsidP="00FF02B4">
      <w:pPr>
        <w:widowControl/>
        <w:shd w:val="clear" w:color="auto" w:fill="FFFFFF"/>
        <w:spacing w:line="600" w:lineRule="atLeast"/>
        <w:ind w:firstLineChars="200" w:firstLine="643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</w:t>
      </w:r>
      <w:r w:rsidR="00C50CC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、</w:t>
      </w:r>
      <w:r w:rsidR="00C50CC8"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C50CC8" w:rsidRDefault="00C50CC8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2020年末，公司资产总额</w:t>
      </w:r>
      <w:r w:rsidR="00875B59">
        <w:rPr>
          <w:rFonts w:ascii="宋体" w:eastAsia="宋体" w:hAnsi="宋体" w:cs="宋体"/>
          <w:color w:val="333333"/>
          <w:kern w:val="0"/>
          <w:sz w:val="32"/>
          <w:szCs w:val="32"/>
        </w:rPr>
        <w:t>26.74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亿元，资产负债率</w:t>
      </w:r>
      <w:r w:rsidR="00875B59">
        <w:rPr>
          <w:rFonts w:ascii="宋体" w:eastAsia="宋体" w:hAnsi="宋体" w:cs="宋体"/>
          <w:color w:val="333333"/>
          <w:kern w:val="0"/>
          <w:sz w:val="32"/>
          <w:szCs w:val="32"/>
        </w:rPr>
        <w:t>97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%，营业收入</w:t>
      </w:r>
      <w:r w:rsidR="00875B59">
        <w:rPr>
          <w:rFonts w:ascii="宋体" w:eastAsia="宋体" w:hAnsi="宋体" w:cs="宋体"/>
          <w:color w:val="333333"/>
          <w:kern w:val="0"/>
          <w:sz w:val="32"/>
          <w:szCs w:val="32"/>
        </w:rPr>
        <w:t>0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万元，完成利润总额</w:t>
      </w:r>
      <w:r w:rsidR="00875B59">
        <w:rPr>
          <w:rFonts w:ascii="宋体" w:eastAsia="宋体" w:hAnsi="宋体" w:cs="宋体"/>
          <w:color w:val="333333"/>
          <w:kern w:val="0"/>
          <w:sz w:val="32"/>
          <w:szCs w:val="32"/>
        </w:rPr>
        <w:t>-479.27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万元。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FF6942" w:rsidRPr="00C102FE" w:rsidRDefault="00C102FE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C102FE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无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FF6942" w:rsidRPr="00FF6942" w:rsidRDefault="00C102FE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p w:rsidR="00FF6942" w:rsidRDefault="00FF6942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FF6942" w:rsidRPr="00FF6942" w:rsidRDefault="00C102FE" w:rsidP="00C50CC8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sectPr w:rsidR="00FF6942" w:rsidRPr="00FF6942" w:rsidSect="0057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EEB" w:rsidRDefault="005E2EEB" w:rsidP="005B16D7">
      <w:r>
        <w:separator/>
      </w:r>
    </w:p>
  </w:endnote>
  <w:endnote w:type="continuationSeparator" w:id="1">
    <w:p w:rsidR="005E2EEB" w:rsidRDefault="005E2EEB" w:rsidP="005B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EEB" w:rsidRDefault="005E2EEB" w:rsidP="005B16D7">
      <w:r>
        <w:separator/>
      </w:r>
    </w:p>
  </w:footnote>
  <w:footnote w:type="continuationSeparator" w:id="1">
    <w:p w:rsidR="005E2EEB" w:rsidRDefault="005E2EEB" w:rsidP="005B1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56260"/>
    <w:rsid w:val="001E32B9"/>
    <w:rsid w:val="00212C4C"/>
    <w:rsid w:val="0022664F"/>
    <w:rsid w:val="002963ED"/>
    <w:rsid w:val="002E3BFD"/>
    <w:rsid w:val="00374432"/>
    <w:rsid w:val="00391727"/>
    <w:rsid w:val="00450EA9"/>
    <w:rsid w:val="004B421C"/>
    <w:rsid w:val="004E0326"/>
    <w:rsid w:val="00551DA3"/>
    <w:rsid w:val="00577378"/>
    <w:rsid w:val="005B16D7"/>
    <w:rsid w:val="005E2EEB"/>
    <w:rsid w:val="005F3A56"/>
    <w:rsid w:val="006837CB"/>
    <w:rsid w:val="00711130"/>
    <w:rsid w:val="00772273"/>
    <w:rsid w:val="00875B59"/>
    <w:rsid w:val="00990F5D"/>
    <w:rsid w:val="00A95A0D"/>
    <w:rsid w:val="00AF633C"/>
    <w:rsid w:val="00C0398A"/>
    <w:rsid w:val="00C102FE"/>
    <w:rsid w:val="00C50CC8"/>
    <w:rsid w:val="00CF49B8"/>
    <w:rsid w:val="00E14677"/>
    <w:rsid w:val="00E969C3"/>
    <w:rsid w:val="00F53FAC"/>
    <w:rsid w:val="00FF02B4"/>
    <w:rsid w:val="00FF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B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16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16D7"/>
    <w:rPr>
      <w:sz w:val="18"/>
      <w:szCs w:val="18"/>
    </w:rPr>
  </w:style>
  <w:style w:type="table" w:styleId="a6">
    <w:name w:val="Table Grid"/>
    <w:basedOn w:val="a1"/>
    <w:uiPriority w:val="39"/>
    <w:rsid w:val="005B1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慈汶鹏</cp:lastModifiedBy>
  <cp:revision>44</cp:revision>
  <dcterms:created xsi:type="dcterms:W3CDTF">2021-11-16T03:15:00Z</dcterms:created>
  <dcterms:modified xsi:type="dcterms:W3CDTF">2021-11-22T10:06:00Z</dcterms:modified>
</cp:coreProperties>
</file>