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695" w:rsidRPr="009C7695" w:rsidRDefault="009C7695" w:rsidP="009C7695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</w:pPr>
      <w:r w:rsidRPr="009C7695">
        <w:rPr>
          <w:rFonts w:ascii="方正小标宋简体" w:eastAsia="方正小标宋简体" w:hAnsi="黑体" w:cs="宋体" w:hint="eastAsia"/>
          <w:bCs/>
          <w:color w:val="333333"/>
          <w:kern w:val="0"/>
          <w:sz w:val="44"/>
          <w:szCs w:val="32"/>
        </w:rPr>
        <w:t>北京金泰卓越物业管理有限公司</w:t>
      </w:r>
    </w:p>
    <w:p w:rsidR="009C7695" w:rsidRDefault="009C7695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</w:pP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企业基本信息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1.公司概况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卓越物业成立于2010年1月，由金泰地产全资设立，注册资本1200万元，下设7个分公司，物业在管项目7个，资产委托项目2个、物业代管项目1个，管理面积总计254万平米，是从事物业服务以及资产委托经营的专业物业公司。卓越物业具备物业管理一级资质、获得三体系认证，在管项目多次获得国优、省优、市优等荣誉称号。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2.营业范围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物业管理；供热服务（燃煤、燃油生产除外）；会议服务；组织文化艺术交流活动（不含营业性演出）；展览服务；信息咨询服务；劳务服务；房地产经纪；酒店管理；出租办公用房；饮品制售、洗衣服务、餐饮服务（限分支机构经营）；机动车公共停车场管理；企业管理；出租商业用房；销售日用百货、日用杂品、汽车配件、针纺织品、服装鞋帽、箱包、钟表、眼镜、化妆品、家用电器、儿童玩具、文体用品、体育用品、手机及配件、珠宝首饰、工艺美术品；儿童室内游戏娱乐服务（不含电子游艺）；销售食品；零售烟草。（市场主体依法自主选择经营项目，开展经营活动；销售食品、零售烟草以及依法须经批准的项目，经相关部门批准后依批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准的内容开展经营活动；不得从事国家和本市产业政策禁止和限制类项目的经营活动。）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3.公司地址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111111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北京市门头沟区新桥南大街2号12幢4层403室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4.注册地址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111111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北京市门头沟区新桥南大街2号12幢4层403室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5.注册时间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2010年01月13日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6.注册资本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1200万元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7.邮编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102300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重要人事变动</w:t>
      </w:r>
    </w:p>
    <w:tbl>
      <w:tblPr>
        <w:tblStyle w:val="a6"/>
        <w:tblW w:w="6662" w:type="dxa"/>
        <w:tblInd w:w="988" w:type="dxa"/>
        <w:tblLayout w:type="fixed"/>
        <w:tblLook w:val="04A0"/>
      </w:tblPr>
      <w:tblGrid>
        <w:gridCol w:w="3160"/>
        <w:gridCol w:w="3502"/>
      </w:tblGrid>
      <w:tr w:rsidR="000862DE">
        <w:tc>
          <w:tcPr>
            <w:tcW w:w="6662" w:type="dxa"/>
            <w:gridSpan w:val="2"/>
          </w:tcPr>
          <w:p w:rsidR="000862DE" w:rsidRDefault="00AC703E">
            <w:pPr>
              <w:widowControl/>
              <w:spacing w:line="600" w:lineRule="atLeast"/>
              <w:jc w:val="left"/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 w:val="32"/>
                <w:szCs w:val="32"/>
              </w:rPr>
              <w:t>公司高级管理人员</w:t>
            </w:r>
          </w:p>
        </w:tc>
      </w:tr>
      <w:tr w:rsidR="000862DE">
        <w:tc>
          <w:tcPr>
            <w:tcW w:w="3160" w:type="dxa"/>
          </w:tcPr>
          <w:p w:rsidR="000862DE" w:rsidRDefault="00AC703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董艳娜</w:t>
            </w:r>
          </w:p>
        </w:tc>
        <w:tc>
          <w:tcPr>
            <w:tcW w:w="3502" w:type="dxa"/>
          </w:tcPr>
          <w:p w:rsidR="000862DE" w:rsidRDefault="00AC703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党总支书记、执行董事</w:t>
            </w:r>
          </w:p>
        </w:tc>
      </w:tr>
      <w:tr w:rsidR="000862DE">
        <w:tc>
          <w:tcPr>
            <w:tcW w:w="3160" w:type="dxa"/>
          </w:tcPr>
          <w:p w:rsidR="000862DE" w:rsidRDefault="00AC703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赵健忠</w:t>
            </w:r>
          </w:p>
        </w:tc>
        <w:tc>
          <w:tcPr>
            <w:tcW w:w="3502" w:type="dxa"/>
          </w:tcPr>
          <w:p w:rsidR="000862DE" w:rsidRDefault="00AC703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副书记、总经理</w:t>
            </w:r>
          </w:p>
        </w:tc>
      </w:tr>
      <w:tr w:rsidR="000862DE">
        <w:tc>
          <w:tcPr>
            <w:tcW w:w="3160" w:type="dxa"/>
          </w:tcPr>
          <w:p w:rsidR="000862DE" w:rsidRDefault="00AC703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刘晓红</w:t>
            </w:r>
          </w:p>
        </w:tc>
        <w:tc>
          <w:tcPr>
            <w:tcW w:w="3502" w:type="dxa"/>
          </w:tcPr>
          <w:p w:rsidR="000862DE" w:rsidRDefault="00AC703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纪检委员、副总经理</w:t>
            </w:r>
          </w:p>
        </w:tc>
      </w:tr>
      <w:tr w:rsidR="000862DE">
        <w:tc>
          <w:tcPr>
            <w:tcW w:w="3160" w:type="dxa"/>
          </w:tcPr>
          <w:p w:rsidR="000862DE" w:rsidRDefault="00AC703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张延俊</w:t>
            </w:r>
          </w:p>
        </w:tc>
        <w:tc>
          <w:tcPr>
            <w:tcW w:w="3502" w:type="dxa"/>
          </w:tcPr>
          <w:p w:rsidR="000862DE" w:rsidRDefault="00AC703E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宣传委员、副总经理</w:t>
            </w:r>
          </w:p>
        </w:tc>
      </w:tr>
    </w:tbl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三、企业管理架构</w:t>
      </w:r>
    </w:p>
    <w:tbl>
      <w:tblPr>
        <w:tblStyle w:val="a6"/>
        <w:tblW w:w="6520" w:type="dxa"/>
        <w:tblInd w:w="988" w:type="dxa"/>
        <w:tblLayout w:type="fixed"/>
        <w:tblLook w:val="04A0"/>
      </w:tblPr>
      <w:tblGrid>
        <w:gridCol w:w="6520"/>
      </w:tblGrid>
      <w:tr w:rsidR="000862DE">
        <w:tc>
          <w:tcPr>
            <w:tcW w:w="6520" w:type="dxa"/>
          </w:tcPr>
          <w:p w:rsidR="000862DE" w:rsidRDefault="00AC703E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/>
                <w:b/>
                <w:color w:val="333333"/>
                <w:kern w:val="0"/>
                <w:sz w:val="32"/>
                <w:szCs w:val="32"/>
              </w:rPr>
              <w:t>部门设置</w:t>
            </w:r>
          </w:p>
        </w:tc>
      </w:tr>
      <w:tr w:rsidR="000862DE">
        <w:tc>
          <w:tcPr>
            <w:tcW w:w="6520" w:type="dxa"/>
          </w:tcPr>
          <w:p w:rsidR="000862DE" w:rsidRDefault="00AC703E">
            <w:pPr>
              <w:widowControl/>
              <w:spacing w:line="600" w:lineRule="atLeast"/>
              <w:jc w:val="left"/>
              <w:rPr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运营部</w:t>
            </w:r>
          </w:p>
        </w:tc>
      </w:tr>
      <w:tr w:rsidR="000862DE">
        <w:tc>
          <w:tcPr>
            <w:tcW w:w="6520" w:type="dxa"/>
          </w:tcPr>
          <w:p w:rsidR="000862DE" w:rsidRDefault="00AC70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安全部</w:t>
            </w:r>
          </w:p>
        </w:tc>
      </w:tr>
      <w:tr w:rsidR="000862DE">
        <w:tc>
          <w:tcPr>
            <w:tcW w:w="6520" w:type="dxa"/>
          </w:tcPr>
          <w:p w:rsidR="000862DE" w:rsidRDefault="00AC70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客服部</w:t>
            </w:r>
          </w:p>
        </w:tc>
      </w:tr>
      <w:tr w:rsidR="000862DE">
        <w:tc>
          <w:tcPr>
            <w:tcW w:w="6520" w:type="dxa"/>
          </w:tcPr>
          <w:p w:rsidR="000862DE" w:rsidRDefault="00AC70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财务部</w:t>
            </w:r>
          </w:p>
        </w:tc>
      </w:tr>
      <w:tr w:rsidR="000862DE">
        <w:tc>
          <w:tcPr>
            <w:tcW w:w="6520" w:type="dxa"/>
          </w:tcPr>
          <w:p w:rsidR="000862DE" w:rsidRDefault="00AC703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综合办</w:t>
            </w:r>
          </w:p>
        </w:tc>
      </w:tr>
      <w:tr w:rsidR="000862DE">
        <w:tc>
          <w:tcPr>
            <w:tcW w:w="6520" w:type="dxa"/>
          </w:tcPr>
          <w:p w:rsidR="000862DE" w:rsidRDefault="000862DE">
            <w:pPr>
              <w:rPr>
                <w:sz w:val="32"/>
                <w:szCs w:val="32"/>
              </w:rPr>
            </w:pPr>
          </w:p>
        </w:tc>
      </w:tr>
    </w:tbl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企业经营成果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2020年，公司物业费收缴率及业主满意度均达85%。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</w:t>
      </w: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主要财务状况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2020年末，预计资产总额0.46亿元，资产负债率73%，利润总额7.74万元。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六、重大改制重组情况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p w:rsidR="00AC703E" w:rsidRDefault="00AC703E" w:rsidP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七、履行社会责任情况</w:t>
      </w:r>
    </w:p>
    <w:p w:rsidR="000862DE" w:rsidRPr="00AC703E" w:rsidRDefault="00AC703E" w:rsidP="00AC703E">
      <w:pPr>
        <w:widowControl/>
        <w:shd w:val="clear" w:color="auto" w:fill="FFFFFF"/>
        <w:spacing w:line="600" w:lineRule="atLeast"/>
        <w:ind w:firstLine="645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AC703E">
        <w:rPr>
          <w:rFonts w:ascii="宋体" w:eastAsia="宋体" w:hAnsi="宋体" w:cs="宋体"/>
          <w:color w:val="333333"/>
          <w:kern w:val="0"/>
          <w:sz w:val="32"/>
          <w:szCs w:val="32"/>
        </w:rPr>
        <w:t>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。</w:t>
      </w:r>
      <w:bookmarkStart w:id="0" w:name="_GoBack"/>
      <w:bookmarkEnd w:id="0"/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  <w:t>八、其他依法公开信息</w:t>
      </w:r>
    </w:p>
    <w:p w:rsidR="000862DE" w:rsidRDefault="00AC703E">
      <w:pPr>
        <w:widowControl/>
        <w:shd w:val="clear" w:color="auto" w:fill="FFFFFF"/>
        <w:spacing w:line="600" w:lineRule="atLeast"/>
        <w:ind w:firstLine="645"/>
        <w:jc w:val="left"/>
        <w:rPr>
          <w:rFonts w:ascii="黑体" w:eastAsia="黑体" w:hAnsi="黑体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无。</w:t>
      </w:r>
    </w:p>
    <w:sectPr w:rsidR="000862DE" w:rsidSect="008B4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8A9" w:rsidRDefault="00EC08A9" w:rsidP="009C7695">
      <w:r>
        <w:separator/>
      </w:r>
    </w:p>
  </w:endnote>
  <w:endnote w:type="continuationSeparator" w:id="1">
    <w:p w:rsidR="00EC08A9" w:rsidRDefault="00EC08A9" w:rsidP="009C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8A9" w:rsidRDefault="00EC08A9" w:rsidP="009C7695">
      <w:r>
        <w:separator/>
      </w:r>
    </w:p>
  </w:footnote>
  <w:footnote w:type="continuationSeparator" w:id="1">
    <w:p w:rsidR="00EC08A9" w:rsidRDefault="00EC08A9" w:rsidP="009C7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ED"/>
    <w:rsid w:val="00056260"/>
    <w:rsid w:val="000862DE"/>
    <w:rsid w:val="002963ED"/>
    <w:rsid w:val="002E3BFD"/>
    <w:rsid w:val="004E0326"/>
    <w:rsid w:val="00551DA3"/>
    <w:rsid w:val="005B16D7"/>
    <w:rsid w:val="008B437A"/>
    <w:rsid w:val="00990F5D"/>
    <w:rsid w:val="009C7695"/>
    <w:rsid w:val="00AC703E"/>
    <w:rsid w:val="00C0398A"/>
    <w:rsid w:val="00C50CC8"/>
    <w:rsid w:val="00CF49B8"/>
    <w:rsid w:val="00E14677"/>
    <w:rsid w:val="00EC08A9"/>
    <w:rsid w:val="00F53FAC"/>
    <w:rsid w:val="00FF6942"/>
    <w:rsid w:val="0A370B17"/>
    <w:rsid w:val="0FAB0F70"/>
    <w:rsid w:val="27CE4321"/>
    <w:rsid w:val="57B44B56"/>
    <w:rsid w:val="7CB51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7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B4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B4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8B43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8B43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8B437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B43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慈汶鹏</cp:lastModifiedBy>
  <cp:revision>7</cp:revision>
  <dcterms:created xsi:type="dcterms:W3CDTF">2021-11-16T03:15:00Z</dcterms:created>
  <dcterms:modified xsi:type="dcterms:W3CDTF">2021-11-22T10:06:00Z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